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55" w:rsidRPr="001239A2" w:rsidRDefault="00157955" w:rsidP="00157955">
      <w:pPr>
        <w:rPr>
          <w:smallCaps/>
        </w:rPr>
      </w:pPr>
      <w:r w:rsidRPr="001239A2">
        <w:rPr>
          <w:smallCaps/>
        </w:rPr>
        <w:t>Université d’Oran 1</w:t>
      </w:r>
      <w:r>
        <w:rPr>
          <w:smallCaps/>
        </w:rPr>
        <w:t xml:space="preserve">                                                                                                                      Oran le 4 Avril 2020</w:t>
      </w:r>
    </w:p>
    <w:p w:rsidR="00157955" w:rsidRPr="001239A2" w:rsidRDefault="00157955" w:rsidP="00157955">
      <w:pPr>
        <w:rPr>
          <w:smallCaps/>
        </w:rPr>
      </w:pPr>
      <w:r w:rsidRPr="001239A2">
        <w:rPr>
          <w:smallCaps/>
        </w:rPr>
        <w:t>Faculté des Sciences de la Nature et de la Vie</w:t>
      </w:r>
    </w:p>
    <w:p w:rsidR="00157955" w:rsidRPr="001239A2" w:rsidRDefault="00157955" w:rsidP="00157955">
      <w:pPr>
        <w:rPr>
          <w:smallCaps/>
        </w:rPr>
      </w:pPr>
      <w:r w:rsidRPr="001239A2">
        <w:rPr>
          <w:smallCaps/>
        </w:rPr>
        <w:t>Master Eco-physiologie et biodiversité végétales</w:t>
      </w:r>
    </w:p>
    <w:p w:rsidR="00157955" w:rsidRPr="001239A2" w:rsidRDefault="00157955" w:rsidP="00157955">
      <w:pPr>
        <w:rPr>
          <w:smallCaps/>
        </w:rPr>
      </w:pPr>
      <w:r w:rsidRPr="001239A2">
        <w:rPr>
          <w:smallCaps/>
        </w:rPr>
        <w:t xml:space="preserve">Pr. TSAKI Hassini </w:t>
      </w:r>
    </w:p>
    <w:p w:rsidR="00157955" w:rsidRPr="001239A2" w:rsidRDefault="00157955" w:rsidP="00157955">
      <w:pPr>
        <w:rPr>
          <w:smallCaps/>
        </w:rPr>
      </w:pPr>
      <w:r w:rsidRPr="001239A2">
        <w:rPr>
          <w:smallCaps/>
        </w:rPr>
        <w:t>Module ‘’Changements climatiques’’</w:t>
      </w:r>
    </w:p>
    <w:p w:rsidR="00157955" w:rsidRDefault="00157955" w:rsidP="00157955"/>
    <w:p w:rsidR="00157955" w:rsidRDefault="00625B21" w:rsidP="00157955">
      <w:pPr>
        <w:jc w:val="center"/>
        <w:rPr>
          <w:b/>
          <w:sz w:val="28"/>
          <w:szCs w:val="28"/>
        </w:rPr>
      </w:pPr>
      <w:r>
        <w:rPr>
          <w:b/>
          <w:sz w:val="28"/>
          <w:szCs w:val="28"/>
        </w:rPr>
        <w:t>CHAPITRE 4</w:t>
      </w:r>
      <w:r w:rsidR="00157955" w:rsidRPr="001239A2">
        <w:rPr>
          <w:b/>
          <w:sz w:val="28"/>
          <w:szCs w:val="28"/>
        </w:rPr>
        <w:t> :</w:t>
      </w:r>
    </w:p>
    <w:p w:rsidR="00157955" w:rsidRDefault="00157955" w:rsidP="00157955">
      <w:pPr>
        <w:jc w:val="center"/>
        <w:rPr>
          <w:b/>
          <w:caps/>
          <w:sz w:val="28"/>
          <w:szCs w:val="28"/>
        </w:rPr>
      </w:pPr>
    </w:p>
    <w:p w:rsidR="00157955" w:rsidRPr="001239A2" w:rsidRDefault="00157955" w:rsidP="00157955">
      <w:pPr>
        <w:jc w:val="center"/>
        <w:rPr>
          <w:b/>
          <w:sz w:val="28"/>
          <w:szCs w:val="28"/>
        </w:rPr>
      </w:pPr>
      <w:r w:rsidRPr="001239A2">
        <w:rPr>
          <w:b/>
          <w:caps/>
          <w:sz w:val="28"/>
          <w:szCs w:val="28"/>
        </w:rPr>
        <w:t>LES BASES HISTORIQUES DU RECHAUFFEMENT CLIMATIQUE</w:t>
      </w:r>
    </w:p>
    <w:p w:rsidR="00157955" w:rsidRPr="001239A2" w:rsidRDefault="00157955" w:rsidP="00157955">
      <w:pPr>
        <w:jc w:val="center"/>
        <w:rPr>
          <w:b/>
          <w:caps/>
          <w:sz w:val="28"/>
          <w:szCs w:val="28"/>
        </w:rPr>
      </w:pPr>
      <w:r w:rsidRPr="001239A2">
        <w:rPr>
          <w:b/>
          <w:caps/>
          <w:sz w:val="28"/>
          <w:szCs w:val="28"/>
        </w:rPr>
        <w:t>DATENT DE PLUSIEURS SIECLES</w:t>
      </w:r>
    </w:p>
    <w:p w:rsidR="00157955" w:rsidRPr="001239A2" w:rsidRDefault="00625B21" w:rsidP="00157955">
      <w:pPr>
        <w:jc w:val="center"/>
        <w:rPr>
          <w:b/>
          <w:sz w:val="28"/>
          <w:szCs w:val="28"/>
        </w:rPr>
      </w:pPr>
      <w:r>
        <w:rPr>
          <w:b/>
          <w:sz w:val="28"/>
          <w:szCs w:val="28"/>
        </w:rPr>
        <w:t>(2</w:t>
      </w:r>
      <w:r w:rsidR="00157955" w:rsidRPr="001239A2">
        <w:rPr>
          <w:b/>
          <w:sz w:val="28"/>
          <w:szCs w:val="28"/>
          <w:vertAlign w:val="superscript"/>
        </w:rPr>
        <w:t>ère</w:t>
      </w:r>
      <w:r w:rsidR="00157955" w:rsidRPr="001239A2">
        <w:rPr>
          <w:b/>
          <w:sz w:val="28"/>
          <w:szCs w:val="28"/>
        </w:rPr>
        <w:t xml:space="preserve">   partie)</w:t>
      </w:r>
    </w:p>
    <w:p w:rsidR="00157955" w:rsidRDefault="00157955" w:rsidP="00157955">
      <w:pPr>
        <w:rPr>
          <w:smallCaps/>
        </w:rPr>
      </w:pPr>
    </w:p>
    <w:p w:rsidR="00157955" w:rsidRDefault="00157955" w:rsidP="00157955">
      <w:pPr>
        <w:pStyle w:val="Paragraphedeliste"/>
        <w:numPr>
          <w:ilvl w:val="0"/>
          <w:numId w:val="1"/>
        </w:numPr>
        <w:rPr>
          <w:rFonts w:cstheme="minorHAnsi"/>
          <w:b/>
          <w:smallCaps/>
          <w:u w:val="single"/>
        </w:rPr>
      </w:pPr>
      <w:r w:rsidRPr="008048A6">
        <w:rPr>
          <w:rFonts w:cstheme="minorHAnsi"/>
          <w:b/>
          <w:smallCaps/>
          <w:u w:val="single"/>
        </w:rPr>
        <w:t>CONTEXTE HISTORIQUE  ET PROBLEMATIQUE DE LA QUESTION CLIMATIQUE</w:t>
      </w:r>
      <w:r>
        <w:rPr>
          <w:rFonts w:cstheme="minorHAnsi"/>
          <w:b/>
          <w:smallCaps/>
          <w:u w:val="single"/>
        </w:rPr>
        <w:t xml:space="preserve"> A DIFFERENTES EPOQUES</w:t>
      </w:r>
    </w:p>
    <w:p w:rsidR="00625B21" w:rsidRDefault="00625B21" w:rsidP="00625B21">
      <w:pPr>
        <w:pStyle w:val="Paragraphedeliste"/>
        <w:rPr>
          <w:rFonts w:cstheme="minorHAnsi"/>
          <w:b/>
          <w:smallCaps/>
          <w:u w:val="single"/>
        </w:rPr>
      </w:pPr>
    </w:p>
    <w:p w:rsidR="00157955" w:rsidRDefault="00157955" w:rsidP="00157955">
      <w:pPr>
        <w:pStyle w:val="Paragraphedeliste"/>
        <w:rPr>
          <w:rFonts w:cstheme="minorHAnsi"/>
          <w:b/>
          <w:smallCaps/>
          <w:u w:val="single"/>
        </w:rPr>
      </w:pPr>
    </w:p>
    <w:p w:rsidR="00157955" w:rsidRDefault="00157955" w:rsidP="00625B21">
      <w:pPr>
        <w:pStyle w:val="Paragraphedeliste"/>
        <w:numPr>
          <w:ilvl w:val="0"/>
          <w:numId w:val="3"/>
        </w:numPr>
        <w:shd w:val="clear" w:color="auto" w:fill="FFFFFF"/>
        <w:spacing w:before="480" w:after="240" w:line="240" w:lineRule="auto"/>
        <w:jc w:val="both"/>
        <w:textAlignment w:val="baseline"/>
        <w:outlineLvl w:val="2"/>
        <w:rPr>
          <w:rFonts w:eastAsia="Times New Roman" w:cstheme="minorHAnsi"/>
          <w:b/>
          <w:bCs/>
          <w:color w:val="000000"/>
          <w:lang w:eastAsia="fr-FR"/>
        </w:rPr>
      </w:pPr>
      <w:r w:rsidRPr="00625B21">
        <w:rPr>
          <w:rFonts w:eastAsia="Times New Roman" w:cstheme="minorHAnsi"/>
          <w:b/>
          <w:bCs/>
          <w:color w:val="000000"/>
          <w:lang w:eastAsia="fr-FR"/>
        </w:rPr>
        <w:t xml:space="preserve">  Dégradation forestière et changement climatique</w:t>
      </w:r>
    </w:p>
    <w:p w:rsidR="00625B21" w:rsidRPr="00625B21" w:rsidRDefault="00625B21" w:rsidP="00625B21">
      <w:pPr>
        <w:pStyle w:val="Paragraphedeliste"/>
        <w:shd w:val="clear" w:color="auto" w:fill="FFFFFF"/>
        <w:spacing w:before="480" w:after="240" w:line="240" w:lineRule="auto"/>
        <w:jc w:val="both"/>
        <w:textAlignment w:val="baseline"/>
        <w:outlineLvl w:val="2"/>
        <w:rPr>
          <w:rFonts w:eastAsia="Times New Roman" w:cstheme="minorHAnsi"/>
          <w:b/>
          <w:bCs/>
          <w:color w:val="000000"/>
          <w:lang w:eastAsia="fr-FR"/>
        </w:rPr>
      </w:pPr>
    </w:p>
    <w:p w:rsidR="00157955"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L’optimisme démiurgique dont témoignent ces projets pouvait se retourner comme un gant. La fabrique humaine des climats constitue le cas limite du projet de maîtrise de la nature. Le climat étant un ensemble de processus très hétérogènes en interaction, la transformation climatique est toujours incertaine. Des modifications environnementales en apparence bénignes peuvent avoir des conséquences terribles. Par exemple, selon l’abbé Richard, une épidémie aux Moluques hollandaises aurait eu pour cause la destruction des girofliers dont les particules aromatiques corrigeaient l’air corrompu par les fumées d’un volcan</w:t>
      </w:r>
      <w:r>
        <w:rPr>
          <w:rFonts w:eastAsia="Times New Roman" w:cstheme="minorHAnsi"/>
          <w:color w:val="000000"/>
          <w:bdr w:val="none" w:sz="0" w:space="0" w:color="auto" w:frame="1"/>
          <w:lang w:eastAsia="fr-FR"/>
        </w:rPr>
        <w:t> </w:t>
      </w:r>
      <w:r w:rsidRPr="002E73A6">
        <w:rPr>
          <w:rFonts w:eastAsia="Times New Roman" w:cstheme="minorHAnsi"/>
          <w:color w:val="000000" w:themeColor="text1"/>
          <w:bdr w:val="none" w:sz="0" w:space="0" w:color="auto" w:frame="1"/>
          <w:lang w:eastAsia="fr-FR"/>
        </w:rPr>
        <w:t>(</w:t>
      </w:r>
      <w:r w:rsidRPr="006A2DA9">
        <w:rPr>
          <w:rFonts w:eastAsia="Times New Roman" w:cstheme="minorHAnsi"/>
          <w:color w:val="000000" w:themeColor="text1"/>
          <w:bdr w:val="none" w:sz="0" w:space="0" w:color="auto" w:frame="1"/>
          <w:lang w:eastAsia="fr-FR"/>
        </w:rPr>
        <w:t>9)</w:t>
      </w:r>
      <w:r w:rsidRPr="006E1433">
        <w:rPr>
          <w:rFonts w:eastAsia="Times New Roman" w:cstheme="minorHAnsi"/>
          <w:color w:val="000000"/>
          <w:lang w:eastAsia="fr-FR"/>
        </w:rPr>
        <w:t>. Si l’action de l’homme peut améliorer climats et populations, elle peut aussi conduire à la catastrophe.</w:t>
      </w:r>
    </w:p>
    <w:p w:rsidR="00157955" w:rsidRPr="006E1433"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p>
    <w:p w:rsidR="00157955"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Ce constat inquiétant s’élabore au XVIIIe siècle dans le monde colonial insulaire. À partir des années 1760, les conséquences environnementales de l’économie de plantation se font sentir à l’Île Maurice et dans les colonies britanniques (Sainte-Hélène, La Grenade, La Barbade)</w:t>
      </w:r>
      <w:r>
        <w:rPr>
          <w:rFonts w:eastAsia="Times New Roman" w:cstheme="minorHAnsi"/>
          <w:color w:val="000000"/>
          <w:bdr w:val="none" w:sz="0" w:space="0" w:color="auto" w:frame="1"/>
          <w:lang w:eastAsia="fr-FR"/>
        </w:rPr>
        <w:t> </w:t>
      </w:r>
      <w:r w:rsidRPr="002E73A6">
        <w:rPr>
          <w:rFonts w:eastAsia="Times New Roman" w:cstheme="minorHAnsi"/>
          <w:color w:val="000000" w:themeColor="text1"/>
          <w:bdr w:val="none" w:sz="0" w:space="0" w:color="auto" w:frame="1"/>
          <w:lang w:eastAsia="fr-FR"/>
        </w:rPr>
        <w:t>(</w:t>
      </w:r>
      <w:r w:rsidRPr="0097680B">
        <w:rPr>
          <w:rFonts w:eastAsia="Times New Roman" w:cstheme="minorHAnsi"/>
          <w:color w:val="000000" w:themeColor="text1"/>
          <w:bdr w:val="none" w:sz="0" w:space="0" w:color="auto" w:frame="1"/>
          <w:lang w:eastAsia="fr-FR"/>
        </w:rPr>
        <w:t>10)</w:t>
      </w:r>
      <w:r w:rsidRPr="006E1433">
        <w:rPr>
          <w:rFonts w:eastAsia="Times New Roman" w:cstheme="minorHAnsi"/>
          <w:color w:val="000000"/>
          <w:lang w:eastAsia="fr-FR"/>
        </w:rPr>
        <w:t>. Reprenant les théories de Théophraste d’Érèse (le successeur d’Aristote à la tête du Lycée), selon lesquelles les arbres influeraient de manière déterminante sur les précipitations en aspirant et en restituant l’eau par leurs pores, les élites coloniales s’inquiètent de la diminution des pluies liée au déboisement. Ces préoccupations ont un écho en métropole : lorsqu’en 1766 Pierre Poivre est nommé commissaire-intendant à Maurice, il reçoit pour mission de « restaurer les pluies » de l’île en y menant une politique de conservation des forêts.</w:t>
      </w:r>
    </w:p>
    <w:p w:rsidR="00157955" w:rsidRPr="006E1433"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p>
    <w:p w:rsidR="00157955"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lastRenderedPageBreak/>
        <w:t xml:space="preserve">   </w:t>
      </w:r>
      <w:r w:rsidRPr="006E1433">
        <w:rPr>
          <w:rFonts w:eastAsia="Times New Roman" w:cstheme="minorHAnsi"/>
          <w:color w:val="000000"/>
          <w:lang w:eastAsia="fr-FR"/>
        </w:rPr>
        <w:t>En ce qui concerne la France, les effets de l’exploitation forestière et agricole sur le climat sont longtemps vus comme bénéfiques (dans ses </w:t>
      </w:r>
      <w:r w:rsidRPr="006E1433">
        <w:rPr>
          <w:rFonts w:eastAsia="Times New Roman" w:cstheme="minorHAnsi"/>
          <w:i/>
          <w:iCs/>
          <w:color w:val="000000"/>
          <w:bdr w:val="none" w:sz="0" w:space="0" w:color="auto" w:frame="1"/>
          <w:lang w:eastAsia="fr-FR"/>
        </w:rPr>
        <w:t>Époques de la nature</w:t>
      </w:r>
      <w:r w:rsidRPr="006E1433">
        <w:rPr>
          <w:rFonts w:eastAsia="Times New Roman" w:cstheme="minorHAnsi"/>
          <w:color w:val="000000"/>
          <w:lang w:eastAsia="fr-FR"/>
        </w:rPr>
        <w:t>, Buffon compare ainsi avantageusement le climat de l’Europe – adouci par des siècles de présence humaine – au climat sauvage de l’Amérique). Ces effets ne commencent à inquiéter qu’à partir des années 1790, en lien avec un discours qui dénonce le déclin de la forêt française. Celle-ci, dans le sillage de la Révolution, est en train de connaître une profonde reconfiguration de ses régimes de propriété et d’usage. L’expropriation du clergé et des émigrés, la vente des biens nationaux, le partage des communaux ont provoqué une parcellisation et un transfert des surfaces boisées qui a profité à la bourgeoisie et à certaines franges du monde paysan. Les maîtrises des Eaux et Forêts, symboles de l’absolutisme, ont été supprimées et les bois privés échappent désormais à toute régulation.</w:t>
      </w:r>
    </w:p>
    <w:p w:rsidR="00157955" w:rsidRPr="006E1433" w:rsidRDefault="00157955" w:rsidP="00157955">
      <w:pPr>
        <w:shd w:val="clear" w:color="auto" w:fill="FFFFFF"/>
        <w:spacing w:after="0" w:line="240" w:lineRule="auto"/>
        <w:jc w:val="both"/>
        <w:textAlignment w:val="baseline"/>
        <w:rPr>
          <w:rFonts w:eastAsia="Times New Roman" w:cstheme="minorHAnsi"/>
          <w:color w:val="000000"/>
          <w:lang w:eastAsia="fr-FR"/>
        </w:rPr>
      </w:pPr>
    </w:p>
    <w:p w:rsidR="00157955"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Cette transformation (post-)révolutionnaire fait du climat une affaire éminemment politique : à chaque accident météorologique, on blâme les paysans de l’an II qui se seraient rués, haches aux poings, sur les nobles futaies. Pendant l’été sec de 1800, le</w:t>
      </w:r>
      <w:r>
        <w:rPr>
          <w:rFonts w:eastAsia="Times New Roman" w:cstheme="minorHAnsi"/>
          <w:color w:val="000000"/>
          <w:lang w:eastAsia="fr-FR"/>
        </w:rPr>
        <w:t xml:space="preserve"> </w:t>
      </w:r>
      <w:r w:rsidRPr="006E1433">
        <w:rPr>
          <w:rFonts w:eastAsia="Times New Roman" w:cstheme="minorHAnsi"/>
          <w:i/>
          <w:iCs/>
          <w:color w:val="000000"/>
          <w:bdr w:val="none" w:sz="0" w:space="0" w:color="auto" w:frame="1"/>
          <w:lang w:eastAsia="fr-FR"/>
        </w:rPr>
        <w:t>Moniteur universel</w:t>
      </w:r>
      <w:r w:rsidRPr="006E1433">
        <w:rPr>
          <w:rFonts w:eastAsia="Times New Roman" w:cstheme="minorHAnsi"/>
          <w:color w:val="000000"/>
          <w:lang w:eastAsia="fr-FR"/>
        </w:rPr>
        <w:t> publie une série d’articles catastrophistes. Cadet de Vaux, un pharmacien réputé, également agronome, explique : « Nous sommes dévorés de sécheresse et la science dit : il ne faut pas accuser la nature mais l’homme, qui, en altérant la surface de la terre, a changé le cours de l’atmosphère et conséquemment l’influence des saisons »</w:t>
      </w:r>
      <w:r>
        <w:rPr>
          <w:rFonts w:eastAsia="Times New Roman" w:cstheme="minorHAnsi"/>
          <w:color w:val="000000"/>
          <w:bdr w:val="none" w:sz="0" w:space="0" w:color="auto" w:frame="1"/>
          <w:lang w:eastAsia="fr-FR"/>
        </w:rPr>
        <w:t> </w:t>
      </w:r>
      <w:r w:rsidRPr="002E73A6">
        <w:rPr>
          <w:rFonts w:eastAsia="Times New Roman" w:cstheme="minorHAnsi"/>
          <w:color w:val="000000" w:themeColor="text1"/>
          <w:bdr w:val="none" w:sz="0" w:space="0" w:color="auto" w:frame="1"/>
          <w:lang w:eastAsia="fr-FR"/>
        </w:rPr>
        <w:t>(</w:t>
      </w:r>
      <w:r w:rsidRPr="003E6F1F">
        <w:rPr>
          <w:rFonts w:eastAsia="Times New Roman" w:cstheme="minorHAnsi"/>
          <w:color w:val="000000" w:themeColor="text1"/>
          <w:bdr w:val="none" w:sz="0" w:space="0" w:color="auto" w:frame="1"/>
          <w:lang w:eastAsia="fr-FR"/>
        </w:rPr>
        <w:t>11)</w:t>
      </w:r>
      <w:r w:rsidRPr="006E1433">
        <w:rPr>
          <w:rFonts w:eastAsia="Times New Roman" w:cstheme="minorHAnsi"/>
          <w:color w:val="000000"/>
          <w:lang w:eastAsia="fr-FR"/>
        </w:rPr>
        <w:t>.</w:t>
      </w:r>
    </w:p>
    <w:p w:rsidR="00157955" w:rsidRPr="006E1433" w:rsidRDefault="00157955" w:rsidP="00157955">
      <w:pPr>
        <w:shd w:val="clear" w:color="auto" w:fill="FFFFFF"/>
        <w:spacing w:after="0" w:line="240" w:lineRule="auto"/>
        <w:jc w:val="both"/>
        <w:textAlignment w:val="baseline"/>
        <w:rPr>
          <w:rFonts w:eastAsia="Times New Roman" w:cstheme="minorHAnsi"/>
          <w:color w:val="000000"/>
          <w:lang w:eastAsia="fr-FR"/>
        </w:rPr>
      </w:pPr>
    </w:p>
    <w:p w:rsidR="00157955" w:rsidRPr="006E1433" w:rsidRDefault="00157955" w:rsidP="00157955">
      <w:pPr>
        <w:shd w:val="clear" w:color="auto" w:fill="FFFFFF"/>
        <w:spacing w:after="72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Les régimes successifs cherchent des réponses adaptées. Le Consulat pose ainsi une limite à la libéralisation forestière en conditionnant tout défrichement à l’obtention d’une autorisation administrative, ce qui doit contribuer à sauvegarder les forêts et, partant, le climat de la France. Les gouvernements de la Restauration accusent quant à eux la Révolution d’avoir soustrait la forêt à ses propriétaires traditionnels et légitimes, pour la livrer à une bourgeoisie incapable de gestion de long terme car dépourvue de l’inscription dans le temps long des territoires, apanage de l’aristocratie. L’enquête climatique de 1821 citée en exergue s’inscrit dans ce contexte : au sortir du terrible hiver de 1820-1821, le ministère de l’Intérieur consulte les préfets sur les dérèglements qu’aurait pu connaître le « système météorologique » de leurs départements en lien avec la déforestation.</w:t>
      </w:r>
      <w:r>
        <w:rPr>
          <w:rFonts w:eastAsia="Times New Roman" w:cstheme="minorHAnsi"/>
          <w:color w:val="000000"/>
          <w:lang w:eastAsia="fr-FR"/>
        </w:rPr>
        <w:t xml:space="preserve"> </w:t>
      </w:r>
      <w:r w:rsidRPr="006E1433">
        <w:rPr>
          <w:rFonts w:eastAsia="Times New Roman" w:cstheme="minorHAnsi"/>
          <w:color w:val="000000"/>
          <w:lang w:eastAsia="fr-FR"/>
        </w:rPr>
        <w:t>À travers le climat, l’humanité devient une force planétaire et la planète un être fragile. En 1822, Charles Fourier rédige un texte étrange intitulé </w:t>
      </w:r>
      <w:r w:rsidRPr="006E1433">
        <w:rPr>
          <w:rFonts w:eastAsia="Times New Roman" w:cstheme="minorHAnsi"/>
          <w:i/>
          <w:iCs/>
          <w:color w:val="000000"/>
          <w:bdr w:val="none" w:sz="0" w:space="0" w:color="auto" w:frame="1"/>
          <w:lang w:eastAsia="fr-FR"/>
        </w:rPr>
        <w:t>De la détérioration matérielle de la planète</w:t>
      </w:r>
      <w:r>
        <w:rPr>
          <w:rFonts w:eastAsia="Times New Roman" w:cstheme="minorHAnsi"/>
          <w:color w:val="000000"/>
          <w:bdr w:val="none" w:sz="0" w:space="0" w:color="auto" w:frame="1"/>
          <w:lang w:eastAsia="fr-FR"/>
        </w:rPr>
        <w:t> </w:t>
      </w:r>
      <w:r w:rsidRPr="002E73A6">
        <w:rPr>
          <w:rFonts w:eastAsia="Times New Roman" w:cstheme="minorHAnsi"/>
          <w:color w:val="000000" w:themeColor="text1"/>
          <w:bdr w:val="none" w:sz="0" w:space="0" w:color="auto" w:frame="1"/>
          <w:lang w:eastAsia="fr-FR"/>
        </w:rPr>
        <w:t>(</w:t>
      </w:r>
      <w:r w:rsidRPr="004D3CB4">
        <w:rPr>
          <w:rFonts w:eastAsia="Times New Roman" w:cstheme="minorHAnsi"/>
          <w:color w:val="000000" w:themeColor="text1"/>
          <w:bdr w:val="none" w:sz="0" w:space="0" w:color="auto" w:frame="1"/>
          <w:lang w:eastAsia="fr-FR"/>
        </w:rPr>
        <w:t>12)</w:t>
      </w:r>
      <w:r w:rsidRPr="006E1433">
        <w:rPr>
          <w:rFonts w:eastAsia="Times New Roman" w:cstheme="minorHAnsi"/>
          <w:color w:val="000000"/>
          <w:lang w:eastAsia="fr-FR"/>
        </w:rPr>
        <w:t>. Partant du constat d’un dérèglement du climat, il dresse le diagnostic « du déclin de la santé du globe ». La source du mal est sociale. C’est l’individualisme qui conduit au déboisement : « Les désordres climatériques sont un vice inhérent à la culture civilisée ; elle bouleverse tout par la lutte de l’intérêt individuel avec l’intérêt collectif ». Selon Fourier, toute tentative d’amendement de la société individualiste actuelle est vouée à l’échec, comme le prouve l’inanité des législations forestières successives ; la cure planétaire passe nécessairement par la Révolution : « Il faut sortir de la civilisation ».</w:t>
      </w:r>
    </w:p>
    <w:p w:rsidR="00157955"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t xml:space="preserve">   </w:t>
      </w:r>
      <w:r w:rsidRPr="006E1433">
        <w:rPr>
          <w:rFonts w:eastAsia="Times New Roman" w:cstheme="minorHAnsi"/>
          <w:color w:val="000000"/>
          <w:lang w:eastAsia="fr-FR"/>
        </w:rPr>
        <w:t>Le débat sur le climat, rythmé par la survenue des évènements météorologiques extrêmes, rebondit aussi lorsque la politique forestière est discutée à l’Assemblée nationale. Pendant la monarchie de Juillet, des escarmouches opposent partisans et opposants de l’autorisation de défrichement. Par exemple, le 27 février 1836, alors qu’un député dépose un projet de loi supprimant l’autorisation administrative, l’astronome François Arago improvise une réponse en décrivant les conséquences catastrophiques du déboisement : refroidissement de l’atmosphère, grêles, changement de régime des rivières, inondations, etc. Avant de préciser : « Je ne dis pas que cela soit, mais je dis que cela est possible, et qu’il est utile de se livrer à cet égard à un examen sérieux »</w:t>
      </w:r>
      <w:r>
        <w:rPr>
          <w:rFonts w:eastAsia="Times New Roman" w:cstheme="minorHAnsi"/>
          <w:color w:val="000000"/>
          <w:bdr w:val="none" w:sz="0" w:space="0" w:color="auto" w:frame="1"/>
          <w:lang w:eastAsia="fr-FR"/>
        </w:rPr>
        <w:t> </w:t>
      </w:r>
      <w:r w:rsidRPr="005A32F9">
        <w:rPr>
          <w:rFonts w:eastAsia="Times New Roman" w:cstheme="minorHAnsi"/>
          <w:color w:val="000000" w:themeColor="text1"/>
          <w:bdr w:val="none" w:sz="0" w:space="0" w:color="auto" w:frame="1"/>
          <w:lang w:eastAsia="fr-FR"/>
        </w:rPr>
        <w:t>(</w:t>
      </w:r>
      <w:r w:rsidRPr="00823EA2">
        <w:rPr>
          <w:rFonts w:eastAsia="Times New Roman" w:cstheme="minorHAnsi"/>
          <w:color w:val="000000" w:themeColor="text1"/>
          <w:bdr w:val="none" w:sz="0" w:space="0" w:color="auto" w:frame="1"/>
          <w:lang w:eastAsia="fr-FR"/>
        </w:rPr>
        <w:t>13)</w:t>
      </w:r>
      <w:r w:rsidRPr="006E1433">
        <w:rPr>
          <w:rFonts w:eastAsia="Times New Roman" w:cstheme="minorHAnsi"/>
          <w:color w:val="000000"/>
          <w:lang w:eastAsia="fr-FR"/>
        </w:rPr>
        <w:t>. Sur sa proposition, une commission d’enquête parlementaire sur le changement climatique est mise en place. Mais, deux ans plus tard, Arago doit reconnaître devant l’Assemblée l’incapacité de la science météorologique à trancher la question. Une partie des députés l’accuse alors d’instrumentaliser l’incertitude pour retarder l’abrogation de l’autorisation administrative.</w:t>
      </w:r>
    </w:p>
    <w:p w:rsidR="00157955" w:rsidRPr="006E1433" w:rsidRDefault="00157955" w:rsidP="00157955">
      <w:pPr>
        <w:shd w:val="clear" w:color="auto" w:fill="FFFFFF"/>
        <w:spacing w:after="0" w:line="240" w:lineRule="auto"/>
        <w:ind w:firstLine="360"/>
        <w:jc w:val="both"/>
        <w:textAlignment w:val="baseline"/>
        <w:rPr>
          <w:rFonts w:eastAsia="Times New Roman" w:cstheme="minorHAnsi"/>
          <w:color w:val="000000"/>
          <w:lang w:eastAsia="fr-FR"/>
        </w:rPr>
      </w:pPr>
    </w:p>
    <w:p w:rsidR="00157955" w:rsidRDefault="00157955" w:rsidP="00157955">
      <w:pPr>
        <w:shd w:val="clear" w:color="auto" w:fill="FFFFFF"/>
        <w:spacing w:after="720" w:line="240" w:lineRule="auto"/>
        <w:ind w:firstLine="360"/>
        <w:jc w:val="both"/>
        <w:textAlignment w:val="baseline"/>
        <w:rPr>
          <w:rFonts w:eastAsia="Times New Roman" w:cstheme="minorHAnsi"/>
          <w:color w:val="000000"/>
          <w:lang w:eastAsia="fr-FR"/>
        </w:rPr>
      </w:pPr>
      <w:r>
        <w:rPr>
          <w:rFonts w:eastAsia="Times New Roman" w:cstheme="minorHAnsi"/>
          <w:color w:val="000000"/>
          <w:lang w:eastAsia="fr-FR"/>
        </w:rPr>
        <w:lastRenderedPageBreak/>
        <w:t xml:space="preserve">   </w:t>
      </w:r>
      <w:r w:rsidRPr="006E1433">
        <w:rPr>
          <w:rFonts w:eastAsia="Times New Roman" w:cstheme="minorHAnsi"/>
          <w:color w:val="000000"/>
          <w:lang w:eastAsia="fr-FR"/>
        </w:rPr>
        <w:t>La question du changement climatique devient donc un objet politique majeur après la Révolution, mais la science académique a bien du mal à le prendre en charge car il demeure étranger au programme expérimental et mathématique qui domine alors les sciences physiques. Les savants qui, comme Arago, sont enrôlés dans l’expertise climatique rechignent à donner des réponses claires et soulignent les difficultés de l’entreprise : comment définir le changement climatique ? Comment distinguer l’épiphénomène de la tendance de long terme ? Quels critères prendre en compte (précipitations, phénomènes extrêmes, température) ? Alors que les savants valorisent la mesure et la précision comme critères d’objectivité, les gouvernements successifs leur imposent l’étude d’un objet difficilement saisissable en ces termes.</w:t>
      </w:r>
    </w:p>
    <w:p w:rsidR="00157955" w:rsidRPr="00240F13" w:rsidRDefault="00157955" w:rsidP="00157955">
      <w:pPr>
        <w:spacing w:after="120" w:line="120" w:lineRule="atLeast"/>
        <w:jc w:val="both"/>
        <w:rPr>
          <w:rFonts w:cstheme="minorHAnsi"/>
          <w:b/>
          <w:sz w:val="20"/>
          <w:szCs w:val="20"/>
        </w:rPr>
      </w:pPr>
      <w:r>
        <w:rPr>
          <w:rFonts w:cstheme="minorHAnsi"/>
          <w:b/>
          <w:smallCaps/>
          <w:szCs w:val="20"/>
        </w:rPr>
        <w:t>S</w:t>
      </w:r>
      <w:r w:rsidRPr="00027827">
        <w:rPr>
          <w:rFonts w:cstheme="minorHAnsi"/>
          <w:b/>
          <w:smallCaps/>
          <w:szCs w:val="20"/>
        </w:rPr>
        <w:t>ources bibliographiques générales d’</w:t>
      </w:r>
      <w:r>
        <w:rPr>
          <w:rFonts w:cstheme="minorHAnsi"/>
          <w:b/>
          <w:smallCaps/>
          <w:szCs w:val="20"/>
        </w:rPr>
        <w:t xml:space="preserve">enseignement du module </w:t>
      </w:r>
      <w:r>
        <w:rPr>
          <w:rFonts w:cstheme="minorHAnsi"/>
          <w:b/>
          <w:sz w:val="20"/>
          <w:szCs w:val="20"/>
        </w:rPr>
        <w:t xml:space="preserve">  </w:t>
      </w:r>
      <w:r w:rsidRPr="00240F13">
        <w:rPr>
          <w:rFonts w:cstheme="minorHAnsi"/>
          <w:b/>
          <w:sz w:val="20"/>
          <w:szCs w:val="20"/>
        </w:rPr>
        <w:t> :</w:t>
      </w:r>
    </w:p>
    <w:p w:rsidR="00157955" w:rsidRPr="00240F13" w:rsidRDefault="00157955" w:rsidP="00157955">
      <w:pPr>
        <w:pStyle w:val="selectionshareable"/>
        <w:shd w:val="clear" w:color="auto" w:fill="FFFFFF"/>
        <w:spacing w:before="0" w:beforeAutospacing="0" w:after="0" w:afterAutospacing="0"/>
        <w:textAlignment w:val="baseline"/>
        <w:rPr>
          <w:rFonts w:asciiTheme="minorHAnsi" w:hAnsiTheme="minorHAnsi" w:cstheme="minorHAnsi"/>
          <w:color w:val="919191"/>
          <w:sz w:val="20"/>
          <w:szCs w:val="20"/>
        </w:rPr>
      </w:pPr>
      <w:r w:rsidRPr="00240F13">
        <w:rPr>
          <w:rFonts w:asciiTheme="minorHAnsi" w:hAnsiTheme="minorHAnsi" w:cstheme="minorHAnsi"/>
          <w:sz w:val="20"/>
          <w:szCs w:val="20"/>
        </w:rPr>
        <w:t>(1’) Jean-Baptiste Fressoz&amp; Fabien Locher, « Le climat fragile de la modernité. Petite histoire climatique de la réflexivité environnementale »,</w:t>
      </w:r>
      <w:r w:rsidRPr="00240F13">
        <w:rPr>
          <w:rStyle w:val="apple-converted-space"/>
          <w:rFonts w:asciiTheme="minorHAnsi" w:hAnsiTheme="minorHAnsi" w:cstheme="minorHAnsi"/>
          <w:sz w:val="20"/>
          <w:szCs w:val="20"/>
        </w:rPr>
        <w:t> </w:t>
      </w:r>
      <w:r w:rsidRPr="00240F13">
        <w:rPr>
          <w:rStyle w:val="Accentuation"/>
          <w:rFonts w:asciiTheme="minorHAnsi" w:hAnsiTheme="minorHAnsi" w:cstheme="minorHAnsi"/>
          <w:sz w:val="20"/>
          <w:szCs w:val="20"/>
          <w:bdr w:val="none" w:sz="0" w:space="0" w:color="auto" w:frame="1"/>
        </w:rPr>
        <w:t>La Vie des idées</w:t>
      </w:r>
      <w:r w:rsidRPr="00240F13">
        <w:rPr>
          <w:rStyle w:val="apple-converted-space"/>
          <w:rFonts w:asciiTheme="minorHAnsi" w:hAnsiTheme="minorHAnsi" w:cstheme="minorHAnsi"/>
          <w:i/>
          <w:iCs/>
          <w:sz w:val="20"/>
          <w:szCs w:val="20"/>
          <w:bdr w:val="none" w:sz="0" w:space="0" w:color="auto" w:frame="1"/>
        </w:rPr>
        <w:t> </w:t>
      </w:r>
      <w:r w:rsidRPr="00240F13">
        <w:rPr>
          <w:rFonts w:asciiTheme="minorHAnsi" w:hAnsiTheme="minorHAnsi" w:cstheme="minorHAnsi"/>
          <w:sz w:val="20"/>
          <w:szCs w:val="20"/>
        </w:rPr>
        <w:t>, 20 avril 2010. ISSN : 2105-3030. URL : http://www.laviedesidees.fr/Le-climat-fragile-de-la-modernite.html</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5" w:anchor="nh1" w:tooltip="Notes 1" w:history="1">
        <w:r w:rsidRPr="00240F13">
          <w:rPr>
            <w:rFonts w:eastAsia="Times New Roman" w:cstheme="minorHAnsi"/>
            <w:color w:val="000000" w:themeColor="text1"/>
            <w:sz w:val="20"/>
            <w:szCs w:val="20"/>
            <w:bdr w:val="none" w:sz="0" w:space="0" w:color="auto" w:frame="1"/>
            <w:lang w:eastAsia="fr-FR"/>
          </w:rPr>
          <w:t>1</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Paul Crutzen, « Geology of Mankind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Nature</w:t>
      </w:r>
      <w:r w:rsidRPr="009B5034">
        <w:rPr>
          <w:rFonts w:eastAsia="Times New Roman" w:cstheme="minorHAnsi"/>
          <w:color w:val="000000" w:themeColor="text1"/>
          <w:sz w:val="20"/>
          <w:szCs w:val="20"/>
          <w:lang w:eastAsia="fr-FR"/>
        </w:rPr>
        <w:t>, 3 janvier 2002, p. 23. Mike Davis, « Bienvenue à l’Anthropocène », disponible en ligne sur le site web de la revue</w:t>
      </w:r>
      <w:r w:rsidRPr="00240F13">
        <w:rPr>
          <w:rFonts w:eastAsia="Times New Roman" w:cstheme="minorHAnsi"/>
          <w:color w:val="000000" w:themeColor="text1"/>
          <w:sz w:val="20"/>
          <w:szCs w:val="20"/>
          <w:lang w:eastAsia="fr-FR"/>
        </w:rPr>
        <w:t> </w:t>
      </w:r>
      <w:hyperlink r:id="rId6" w:history="1">
        <w:r w:rsidRPr="00240F13">
          <w:rPr>
            <w:rFonts w:eastAsia="Times New Roman" w:cstheme="minorHAnsi"/>
            <w:i/>
            <w:iCs/>
            <w:color w:val="000000" w:themeColor="text1"/>
            <w:sz w:val="20"/>
            <w:szCs w:val="20"/>
            <w:bdr w:val="none" w:sz="0" w:space="0" w:color="auto" w:frame="1"/>
            <w:lang w:eastAsia="fr-FR"/>
          </w:rPr>
          <w:t>Contretemps</w:t>
        </w:r>
      </w:hyperlink>
      <w:r w:rsidRPr="009B5034">
        <w:rPr>
          <w:rFonts w:eastAsia="Times New Roman" w:cstheme="minorHAnsi"/>
          <w:color w:val="000000" w:themeColor="text1"/>
          <w:sz w:val="20"/>
          <w:szCs w:val="20"/>
          <w:lang w:eastAsia="fr-FR"/>
        </w:rPr>
        <w:t>.</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7" w:anchor="nh2" w:tooltip="Notes 2" w:history="1">
        <w:r w:rsidRPr="00240F13">
          <w:rPr>
            <w:rFonts w:eastAsia="Times New Roman" w:cstheme="minorHAnsi"/>
            <w:color w:val="000000" w:themeColor="text1"/>
            <w:sz w:val="20"/>
            <w:szCs w:val="20"/>
            <w:bdr w:val="none" w:sz="0" w:space="0" w:color="auto" w:frame="1"/>
            <w:lang w:eastAsia="fr-FR"/>
          </w:rPr>
          <w:t>2</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Georges Louis-Leclerc de Buffon,</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Les Époques de la nature</w:t>
      </w:r>
      <w:r w:rsidRPr="009B5034">
        <w:rPr>
          <w:rFonts w:eastAsia="Times New Roman" w:cstheme="minorHAnsi"/>
          <w:color w:val="000000" w:themeColor="text1"/>
          <w:sz w:val="20"/>
          <w:szCs w:val="20"/>
          <w:lang w:eastAsia="fr-FR"/>
        </w:rPr>
        <w:t>, Paris, Imprimerie royale, 1780, vol. 2, p. 197.</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8" w:anchor="nh3" w:tooltip="Notes 3" w:history="1">
        <w:r w:rsidRPr="00240F13">
          <w:rPr>
            <w:rFonts w:eastAsia="Times New Roman" w:cstheme="minorHAnsi"/>
            <w:color w:val="000000" w:themeColor="text1"/>
            <w:sz w:val="20"/>
            <w:szCs w:val="20"/>
            <w:bdr w:val="none" w:sz="0" w:space="0" w:color="auto" w:frame="1"/>
            <w:lang w:eastAsia="fr-FR"/>
          </w:rPr>
          <w:t>3</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Circulaire du ministère de l’Intérieur du 25 avril 1821.</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9" w:anchor="nh4" w:tooltip="Notes 4" w:history="1">
        <w:r w:rsidRPr="00240F13">
          <w:rPr>
            <w:rFonts w:eastAsia="Times New Roman" w:cstheme="minorHAnsi"/>
            <w:color w:val="000000" w:themeColor="text1"/>
            <w:sz w:val="20"/>
            <w:szCs w:val="20"/>
            <w:bdr w:val="none" w:sz="0" w:space="0" w:color="auto" w:frame="1"/>
            <w:lang w:eastAsia="fr-FR"/>
          </w:rPr>
          <w:t>4</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DipeshChakrabarty, « Le climat de l’histoire : quatre thèses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Revue internationale des livres et des idées</w:t>
      </w:r>
      <w:r w:rsidRPr="009B5034">
        <w:rPr>
          <w:rFonts w:eastAsia="Times New Roman" w:cstheme="minorHAnsi"/>
          <w:color w:val="000000" w:themeColor="text1"/>
          <w:sz w:val="20"/>
          <w:szCs w:val="20"/>
          <w:lang w:eastAsia="fr-FR"/>
        </w:rPr>
        <w:t>, janvier-février 2010, 15, p. 22-31.</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0" w:anchor="nh5" w:tooltip="Notes 5" w:history="1">
        <w:r w:rsidRPr="00240F13">
          <w:rPr>
            <w:rFonts w:eastAsia="Times New Roman" w:cstheme="minorHAnsi"/>
            <w:color w:val="000000" w:themeColor="text1"/>
            <w:sz w:val="20"/>
            <w:szCs w:val="20"/>
            <w:bdr w:val="none" w:sz="0" w:space="0" w:color="auto" w:frame="1"/>
            <w:lang w:eastAsia="fr-FR"/>
          </w:rPr>
          <w:t>5</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Clarence J. Glacken,</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Traces on the Rhodian Shore : Nature and Culture in Western ThoughtfromAncient Times to the End of the Eighteenth Century</w:t>
      </w:r>
      <w:r w:rsidRPr="009B5034">
        <w:rPr>
          <w:rFonts w:eastAsia="Times New Roman" w:cstheme="minorHAnsi"/>
          <w:color w:val="000000" w:themeColor="text1"/>
          <w:sz w:val="20"/>
          <w:szCs w:val="20"/>
          <w:lang w:eastAsia="fr-FR"/>
        </w:rPr>
        <w:t>, Berkeley, University of CaliforniaPress, 1967.</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1" w:anchor="nh6" w:tooltip="Notes 6" w:history="1">
        <w:r w:rsidRPr="00240F13">
          <w:rPr>
            <w:rFonts w:eastAsia="Times New Roman" w:cstheme="minorHAnsi"/>
            <w:color w:val="000000" w:themeColor="text1"/>
            <w:sz w:val="20"/>
            <w:szCs w:val="20"/>
            <w:bdr w:val="none" w:sz="0" w:space="0" w:color="auto" w:frame="1"/>
            <w:lang w:eastAsia="fr-FR"/>
          </w:rPr>
          <w:t>6</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Jan Golinski,</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British Weather and the Climate of Enlightnement</w:t>
      </w:r>
      <w:r w:rsidRPr="009B5034">
        <w:rPr>
          <w:rFonts w:eastAsia="Times New Roman" w:cstheme="minorHAnsi"/>
          <w:color w:val="000000" w:themeColor="text1"/>
          <w:sz w:val="20"/>
          <w:szCs w:val="20"/>
          <w:lang w:eastAsia="fr-FR"/>
        </w:rPr>
        <w:t>, Chicago, Chicago UniversityPress, 2008, p. 170-202.</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2" w:anchor="nh7" w:tooltip="Notes 7" w:history="1">
        <w:r w:rsidRPr="00240F13">
          <w:rPr>
            <w:rFonts w:eastAsia="Times New Roman" w:cstheme="minorHAnsi"/>
            <w:color w:val="000000" w:themeColor="text1"/>
            <w:sz w:val="20"/>
            <w:szCs w:val="20"/>
            <w:bdr w:val="none" w:sz="0" w:space="0" w:color="auto" w:frame="1"/>
            <w:lang w:eastAsia="fr-FR"/>
          </w:rPr>
          <w:t>7</w:t>
        </w:r>
      </w:hyperlink>
      <w:r w:rsidRPr="00240F13">
        <w:rPr>
          <w:rFonts w:eastAsia="Times New Roman" w:cstheme="minorHAnsi"/>
          <w:color w:val="000000" w:themeColor="text1"/>
          <w:sz w:val="20"/>
          <w:szCs w:val="20"/>
          <w:bdr w:val="none" w:sz="0" w:space="0" w:color="auto" w:frame="1"/>
          <w:lang w:eastAsia="fr-FR"/>
        </w:rPr>
        <w:t>)</w:t>
      </w:r>
      <w:r w:rsidRPr="009B5034">
        <w:rPr>
          <w:rFonts w:eastAsia="Times New Roman" w:cstheme="minorHAnsi"/>
          <w:color w:val="000000" w:themeColor="text1"/>
          <w:sz w:val="20"/>
          <w:szCs w:val="20"/>
          <w:lang w:eastAsia="fr-FR"/>
        </w:rPr>
        <w:t>Abbé Jérôme Richard,</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Histoire naturelle de l’air et des météores</w:t>
      </w:r>
      <w:r w:rsidRPr="009B5034">
        <w:rPr>
          <w:rFonts w:eastAsia="Times New Roman" w:cstheme="minorHAnsi"/>
          <w:color w:val="000000" w:themeColor="text1"/>
          <w:sz w:val="20"/>
          <w:szCs w:val="20"/>
          <w:lang w:eastAsia="fr-FR"/>
        </w:rPr>
        <w:t>, Paris, Saillant et Nyon, vol. 1, 1770, p. 2.</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3" w:anchor="nh8" w:tooltip="Notes 8" w:history="1">
        <w:r w:rsidRPr="00240F13">
          <w:rPr>
            <w:rFonts w:eastAsia="Times New Roman" w:cstheme="minorHAnsi"/>
            <w:color w:val="000000" w:themeColor="text1"/>
            <w:sz w:val="20"/>
            <w:szCs w:val="20"/>
            <w:bdr w:val="none" w:sz="0" w:space="0" w:color="auto" w:frame="1"/>
            <w:lang w:eastAsia="fr-FR"/>
          </w:rPr>
          <w:t>8</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Une commission de médecine est créée en 1776, elle devient Société royale en 1778.</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4" w:anchor="nh9" w:tooltip="Notes 9" w:history="1">
        <w:r w:rsidRPr="00240F13">
          <w:rPr>
            <w:rFonts w:eastAsia="Times New Roman" w:cstheme="minorHAnsi"/>
            <w:color w:val="000000" w:themeColor="text1"/>
            <w:sz w:val="20"/>
            <w:szCs w:val="20"/>
            <w:bdr w:val="none" w:sz="0" w:space="0" w:color="auto" w:frame="1"/>
            <w:lang w:eastAsia="fr-FR"/>
          </w:rPr>
          <w:t>9</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Abbé Jérôme Richard,</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op. cit.</w:t>
      </w:r>
      <w:r w:rsidRPr="009B5034">
        <w:rPr>
          <w:rFonts w:eastAsia="Times New Roman" w:cstheme="minorHAnsi"/>
          <w:color w:val="000000" w:themeColor="text1"/>
          <w:sz w:val="20"/>
          <w:szCs w:val="20"/>
          <w:lang w:eastAsia="fr-FR"/>
        </w:rPr>
        <w:t>, vol. 2, 1771, p. 412.</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5" w:anchor="nh10" w:tooltip="Notes 10" w:history="1">
        <w:r w:rsidRPr="00240F13">
          <w:rPr>
            <w:rFonts w:eastAsia="Times New Roman" w:cstheme="minorHAnsi"/>
            <w:color w:val="000000" w:themeColor="text1"/>
            <w:sz w:val="20"/>
            <w:szCs w:val="20"/>
            <w:bdr w:val="none" w:sz="0" w:space="0" w:color="auto" w:frame="1"/>
            <w:lang w:eastAsia="fr-FR"/>
          </w:rPr>
          <w:t>10</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Richard Grove,</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Green Imperialism : Colonial Expansion, Tropical Islands Edens and the Origins of Environmentalism, 1600-1860</w:t>
      </w:r>
      <w:r w:rsidRPr="009B5034">
        <w:rPr>
          <w:rFonts w:eastAsia="Times New Roman" w:cstheme="minorHAnsi"/>
          <w:color w:val="000000" w:themeColor="text1"/>
          <w:sz w:val="20"/>
          <w:szCs w:val="20"/>
          <w:lang w:eastAsia="fr-FR"/>
        </w:rPr>
        <w:t>, Cambridge, Cambridge UniversityPress, 1996.</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6" w:anchor="nh11" w:tooltip="Notes 11" w:history="1">
        <w:r w:rsidRPr="00240F13">
          <w:rPr>
            <w:rFonts w:eastAsia="Times New Roman" w:cstheme="minorHAnsi"/>
            <w:color w:val="000000" w:themeColor="text1"/>
            <w:sz w:val="20"/>
            <w:szCs w:val="20"/>
            <w:bdr w:val="none" w:sz="0" w:space="0" w:color="auto" w:frame="1"/>
            <w:lang w:eastAsia="fr-FR"/>
          </w:rPr>
          <w:t>11</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Antoine-Alexis Cadet de Vaux, « Observation sur la sécheresse actuelle, ses causes et les moyens de prévenir la progression de ce fléau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Moniteur universel</w:t>
      </w:r>
      <w:r w:rsidRPr="009B5034">
        <w:rPr>
          <w:rFonts w:eastAsia="Times New Roman" w:cstheme="minorHAnsi"/>
          <w:color w:val="000000" w:themeColor="text1"/>
          <w:sz w:val="20"/>
          <w:szCs w:val="20"/>
          <w:lang w:eastAsia="fr-FR"/>
        </w:rPr>
        <w:t>, 26 août 1800.</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7" w:anchor="nh12" w:tooltip="Notes 12" w:history="1">
        <w:r w:rsidRPr="00240F13">
          <w:rPr>
            <w:rFonts w:eastAsia="Times New Roman" w:cstheme="minorHAnsi"/>
            <w:color w:val="000000" w:themeColor="text1"/>
            <w:sz w:val="20"/>
            <w:szCs w:val="20"/>
            <w:bdr w:val="none" w:sz="0" w:space="0" w:color="auto" w:frame="1"/>
            <w:lang w:eastAsia="fr-FR"/>
          </w:rPr>
          <w:t>12</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Il s’agit de notes préparatoires pour le</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Traité de l’association domestique agricole : théorie de l’unité universelle</w:t>
      </w:r>
      <w:r w:rsidRPr="009B5034">
        <w:rPr>
          <w:rFonts w:eastAsia="Times New Roman" w:cstheme="minorHAnsi"/>
          <w:color w:val="000000" w:themeColor="text1"/>
          <w:sz w:val="20"/>
          <w:szCs w:val="20"/>
          <w:lang w:eastAsia="fr-FR"/>
        </w:rPr>
        <w:t>, publiées dans</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La Phalange</w:t>
      </w:r>
      <w:r w:rsidRPr="00240F13">
        <w:rPr>
          <w:rFonts w:eastAsia="Times New Roman" w:cstheme="minorHAnsi"/>
          <w:color w:val="000000" w:themeColor="text1"/>
          <w:sz w:val="20"/>
          <w:szCs w:val="20"/>
          <w:lang w:eastAsia="fr-FR"/>
        </w:rPr>
        <w:t> </w:t>
      </w:r>
      <w:r w:rsidRPr="009B5034">
        <w:rPr>
          <w:rFonts w:eastAsia="Times New Roman" w:cstheme="minorHAnsi"/>
          <w:color w:val="000000" w:themeColor="text1"/>
          <w:sz w:val="20"/>
          <w:szCs w:val="20"/>
          <w:lang w:eastAsia="fr-FR"/>
        </w:rPr>
        <w:t>en 1847. Pour une vision de la terre comme un être vivant que l’humanité risque de tuer, voir Eugène Huzar,</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La Fin du monde par la science</w:t>
      </w:r>
      <w:r w:rsidRPr="009B5034">
        <w:rPr>
          <w:rFonts w:eastAsia="Times New Roman" w:cstheme="minorHAnsi"/>
          <w:color w:val="000000" w:themeColor="text1"/>
          <w:sz w:val="20"/>
          <w:szCs w:val="20"/>
          <w:lang w:eastAsia="fr-FR"/>
        </w:rPr>
        <w:t>, 1855 (éditions è®e, 2008).</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8" w:anchor="nh13" w:tooltip="Notes 13" w:history="1">
        <w:r w:rsidRPr="00240F13">
          <w:rPr>
            <w:rFonts w:eastAsia="Times New Roman" w:cstheme="minorHAnsi"/>
            <w:color w:val="000000" w:themeColor="text1"/>
            <w:sz w:val="20"/>
            <w:szCs w:val="20"/>
            <w:bdr w:val="none" w:sz="0" w:space="0" w:color="auto" w:frame="1"/>
            <w:lang w:eastAsia="fr-FR"/>
          </w:rPr>
          <w:t>13</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François Arago, « De l’influence du déboisement sur le climat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Œuvres complètes</w:t>
      </w:r>
      <w:r w:rsidRPr="009B5034">
        <w:rPr>
          <w:rFonts w:eastAsia="Times New Roman" w:cstheme="minorHAnsi"/>
          <w:color w:val="000000" w:themeColor="text1"/>
          <w:sz w:val="20"/>
          <w:szCs w:val="20"/>
          <w:lang w:eastAsia="fr-FR"/>
        </w:rPr>
        <w:t>, Paris, Gide, 1859, vol. 12, p. 432.</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19" w:anchor="nh14" w:tooltip="Notes 14" w:history="1">
        <w:r w:rsidRPr="00240F13">
          <w:rPr>
            <w:rFonts w:eastAsia="Times New Roman" w:cstheme="minorHAnsi"/>
            <w:color w:val="000000" w:themeColor="text1"/>
            <w:sz w:val="20"/>
            <w:szCs w:val="20"/>
            <w:bdr w:val="none" w:sz="0" w:space="0" w:color="auto" w:frame="1"/>
            <w:lang w:eastAsia="fr-FR"/>
          </w:rPr>
          <w:t>14</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Jean-Christian Boudin, « Recherches sur l’acclimatement des races humaines sur divers points du globe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Annales d’hygiène publique et de médecine légale</w:t>
      </w:r>
      <w:r w:rsidRPr="009B5034">
        <w:rPr>
          <w:rFonts w:eastAsia="Times New Roman" w:cstheme="minorHAnsi"/>
          <w:color w:val="000000" w:themeColor="text1"/>
          <w:sz w:val="20"/>
          <w:szCs w:val="20"/>
          <w:lang w:eastAsia="fr-FR"/>
        </w:rPr>
        <w:t>, 2e série, 13, 1860, p. 310-341.</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0" w:anchor="nh15" w:tooltip="Notes 15" w:history="1">
        <w:r w:rsidRPr="00240F13">
          <w:rPr>
            <w:rFonts w:eastAsia="Times New Roman" w:cstheme="minorHAnsi"/>
            <w:color w:val="000000" w:themeColor="text1"/>
            <w:sz w:val="20"/>
            <w:szCs w:val="20"/>
            <w:bdr w:val="none" w:sz="0" w:space="0" w:color="auto" w:frame="1"/>
            <w:lang w:eastAsia="fr-FR"/>
          </w:rPr>
          <w:t>15</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Jean-Baptiste Bérard,</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Discours sur les améliorations progressives de la santé publique, par l’influence de la civilisation</w:t>
      </w:r>
      <w:r w:rsidRPr="009B5034">
        <w:rPr>
          <w:rFonts w:eastAsia="Times New Roman" w:cstheme="minorHAnsi"/>
          <w:color w:val="000000" w:themeColor="text1"/>
          <w:sz w:val="20"/>
          <w:szCs w:val="20"/>
          <w:lang w:eastAsia="fr-FR"/>
        </w:rPr>
        <w:t>, Paris, Gabon, 1826, p. 24.</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1" w:anchor="nh16" w:tooltip="Notes 16" w:history="1">
        <w:r w:rsidRPr="00240F13">
          <w:rPr>
            <w:rFonts w:eastAsia="Times New Roman" w:cstheme="minorHAnsi"/>
            <w:color w:val="000000" w:themeColor="text1"/>
            <w:sz w:val="20"/>
            <w:szCs w:val="20"/>
            <w:bdr w:val="none" w:sz="0" w:space="0" w:color="auto" w:frame="1"/>
            <w:lang w:eastAsia="fr-FR"/>
          </w:rPr>
          <w:t>16</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Sur le « reboisement » de territoires jamais boisés, voir Diana K. Davis,</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Resurrecting the Granary of Rome : EnvironmentalHistory and French Colonial Expansion in NorthAfrica</w:t>
      </w:r>
      <w:r w:rsidRPr="009B5034">
        <w:rPr>
          <w:rFonts w:eastAsia="Times New Roman" w:cstheme="minorHAnsi"/>
          <w:color w:val="000000" w:themeColor="text1"/>
          <w:sz w:val="20"/>
          <w:szCs w:val="20"/>
          <w:lang w:eastAsia="fr-FR"/>
        </w:rPr>
        <w:t>, Ohio UniversityPress, 2007.</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2" w:anchor="nh17" w:tooltip="Notes 17" w:history="1">
        <w:r w:rsidRPr="00240F13">
          <w:rPr>
            <w:rFonts w:eastAsia="Times New Roman" w:cstheme="minorHAnsi"/>
            <w:color w:val="000000" w:themeColor="text1"/>
            <w:sz w:val="20"/>
            <w:szCs w:val="20"/>
            <w:bdr w:val="none" w:sz="0" w:space="0" w:color="auto" w:frame="1"/>
            <w:lang w:eastAsia="fr-FR"/>
          </w:rPr>
          <w:t>17</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Docteur Bertherand,</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L’Eucalyptus du point de vue de l’hygiène</w:t>
      </w:r>
      <w:r w:rsidRPr="009B5034">
        <w:rPr>
          <w:rFonts w:eastAsia="Times New Roman" w:cstheme="minorHAnsi"/>
          <w:color w:val="000000" w:themeColor="text1"/>
          <w:sz w:val="20"/>
          <w:szCs w:val="20"/>
          <w:lang w:eastAsia="fr-FR"/>
        </w:rPr>
        <w:t>, Alger, Aillaud, 1876.</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lastRenderedPageBreak/>
        <w:t>(</w:t>
      </w:r>
      <w:hyperlink r:id="rId23" w:anchor="nh18" w:tooltip="Notes 18" w:history="1">
        <w:r w:rsidRPr="00240F13">
          <w:rPr>
            <w:rFonts w:eastAsia="Times New Roman" w:cstheme="minorHAnsi"/>
            <w:color w:val="000000" w:themeColor="text1"/>
            <w:sz w:val="20"/>
            <w:szCs w:val="20"/>
            <w:bdr w:val="none" w:sz="0" w:space="0" w:color="auto" w:frame="1"/>
            <w:lang w:eastAsia="fr-FR"/>
          </w:rPr>
          <w:t>18</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i/>
          <w:iCs/>
          <w:color w:val="000000" w:themeColor="text1"/>
          <w:sz w:val="20"/>
          <w:szCs w:val="20"/>
          <w:bdr w:val="none" w:sz="0" w:space="0" w:color="auto" w:frame="1"/>
          <w:lang w:eastAsia="fr-FR"/>
        </w:rPr>
        <w:t>Travaux de la commission supérieure pour l’examen de projet de mer intérieure dans le sud de l’Algérie et de la Tunisie</w:t>
      </w:r>
      <w:r w:rsidRPr="009B5034">
        <w:rPr>
          <w:rFonts w:eastAsia="Times New Roman" w:cstheme="minorHAnsi"/>
          <w:color w:val="000000" w:themeColor="text1"/>
          <w:sz w:val="20"/>
          <w:szCs w:val="20"/>
          <w:lang w:eastAsia="fr-FR"/>
        </w:rPr>
        <w:t>, Paris, Imprimerie Nationale, 1882, p. 418.</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4" w:anchor="nh19" w:tooltip="Notes 19" w:history="1">
        <w:r w:rsidRPr="00240F13">
          <w:rPr>
            <w:rFonts w:eastAsia="Times New Roman" w:cstheme="minorHAnsi"/>
            <w:color w:val="000000" w:themeColor="text1"/>
            <w:sz w:val="20"/>
            <w:szCs w:val="20"/>
            <w:bdr w:val="none" w:sz="0" w:space="0" w:color="auto" w:frame="1"/>
            <w:lang w:eastAsia="fr-FR"/>
          </w:rPr>
          <w:t>19</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Julien Vincent, « Ramazzini n’est pas le père fondateur de la médecine du travail », article à paraître.</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w:t>
      </w:r>
      <w:hyperlink r:id="rId25" w:anchor="nh20" w:tooltip="Notes 20" w:history="1">
        <w:r w:rsidRPr="00240F13">
          <w:rPr>
            <w:rFonts w:eastAsia="Times New Roman" w:cstheme="minorHAnsi"/>
            <w:color w:val="000000" w:themeColor="text1"/>
            <w:sz w:val="20"/>
            <w:szCs w:val="20"/>
            <w:bdr w:val="none" w:sz="0" w:space="0" w:color="auto" w:frame="1"/>
            <w:lang w:eastAsia="fr-FR"/>
          </w:rPr>
          <w:t>20</w:t>
        </w:r>
      </w:hyperlink>
      <w:r w:rsidRPr="00240F13">
        <w:rPr>
          <w:rFonts w:eastAsia="Times New Roman" w:cstheme="minorHAnsi"/>
          <w:color w:val="000000" w:themeColor="text1"/>
          <w:sz w:val="20"/>
          <w:szCs w:val="20"/>
          <w:bdr w:val="none" w:sz="0" w:space="0" w:color="auto" w:frame="1"/>
          <w:lang w:eastAsia="fr-FR"/>
        </w:rPr>
        <w:t>) </w:t>
      </w:r>
      <w:r w:rsidRPr="009B5034">
        <w:rPr>
          <w:rFonts w:eastAsia="Times New Roman" w:cstheme="minorHAnsi"/>
          <w:color w:val="000000" w:themeColor="text1"/>
          <w:sz w:val="20"/>
          <w:szCs w:val="20"/>
          <w:lang w:eastAsia="fr-FR"/>
        </w:rPr>
        <w:t>Séance du 17 décembre 1776, cité dans</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Journal de Paris</w:t>
      </w:r>
      <w:r w:rsidRPr="009B5034">
        <w:rPr>
          <w:rFonts w:eastAsia="Times New Roman" w:cstheme="minorHAnsi"/>
          <w:color w:val="000000" w:themeColor="text1"/>
          <w:sz w:val="20"/>
          <w:szCs w:val="20"/>
          <w:lang w:eastAsia="fr-FR"/>
        </w:rPr>
        <w:t>, 22 octobre 1778.</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(21) </w:t>
      </w:r>
      <w:r w:rsidRPr="009B5034">
        <w:rPr>
          <w:rFonts w:eastAsia="Times New Roman" w:cstheme="minorHAnsi"/>
          <w:color w:val="000000" w:themeColor="text1"/>
          <w:sz w:val="20"/>
          <w:szCs w:val="20"/>
          <w:lang w:eastAsia="fr-FR"/>
        </w:rPr>
        <w:t>Jean-Baptiste Fressoz, « Circonvenir les circumfusa : la chimie, l’hygiénisme et la libéralisation des choses environnantes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Revue d’histoire moderne et contemporaine</w:t>
      </w:r>
      <w:r w:rsidRPr="009B5034">
        <w:rPr>
          <w:rFonts w:eastAsia="Times New Roman" w:cstheme="minorHAnsi"/>
          <w:color w:val="000000" w:themeColor="text1"/>
          <w:sz w:val="20"/>
          <w:szCs w:val="20"/>
          <w:lang w:eastAsia="fr-FR"/>
        </w:rPr>
        <w:t>, numéro spécial « Histoire environnementale », 56-4, décembre 2009.</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(22) </w:t>
      </w:r>
      <w:r w:rsidRPr="009B5034">
        <w:rPr>
          <w:rFonts w:eastAsia="Times New Roman" w:cstheme="minorHAnsi"/>
          <w:color w:val="000000" w:themeColor="text1"/>
          <w:sz w:val="20"/>
          <w:szCs w:val="20"/>
          <w:lang w:eastAsia="fr-FR"/>
        </w:rPr>
        <w:t>Fabien Locher,</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 Savant et la Tempête. Étudier l’atmosphère et prévoir le temps au XIXe siècle</w:t>
      </w:r>
      <w:r w:rsidRPr="009B5034">
        <w:rPr>
          <w:rFonts w:eastAsia="Times New Roman" w:cstheme="minorHAnsi"/>
          <w:color w:val="000000" w:themeColor="text1"/>
          <w:sz w:val="20"/>
          <w:szCs w:val="20"/>
          <w:lang w:eastAsia="fr-FR"/>
        </w:rPr>
        <w:t>, Rennes, Presses universitaires de Rennes, 2008 ; « Configurations disciplinaires et sciences de l’Observatoire : le cas des approches scientifiques de l’atmosphère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Enquête. Anthropologie, Histoire, Sociologie</w:t>
      </w:r>
      <w:r w:rsidRPr="009B5034">
        <w:rPr>
          <w:rFonts w:eastAsia="Times New Roman" w:cstheme="minorHAnsi"/>
          <w:color w:val="000000" w:themeColor="text1"/>
          <w:sz w:val="20"/>
          <w:szCs w:val="20"/>
          <w:lang w:eastAsia="fr-FR"/>
        </w:rPr>
        <w:t>, 5, 2006, p. 193-212.</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(23) </w:t>
      </w:r>
      <w:r w:rsidRPr="009B5034">
        <w:rPr>
          <w:rFonts w:eastAsia="Times New Roman" w:cstheme="minorHAnsi"/>
          <w:color w:val="000000" w:themeColor="text1"/>
          <w:sz w:val="20"/>
          <w:szCs w:val="20"/>
          <w:lang w:eastAsia="fr-FR"/>
        </w:rPr>
        <w:t>Auguste Comte,</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Cours de philosophie positive</w:t>
      </w:r>
      <w:r w:rsidRPr="009B5034">
        <w:rPr>
          <w:rFonts w:eastAsia="Times New Roman" w:cstheme="minorHAnsi"/>
          <w:color w:val="000000" w:themeColor="text1"/>
          <w:sz w:val="20"/>
          <w:szCs w:val="20"/>
          <w:lang w:eastAsia="fr-FR"/>
        </w:rPr>
        <w:t>, Paris, Bachelier, 1840, vol. 4, chap. « La physique sociale ».</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(24) </w:t>
      </w:r>
      <w:r w:rsidRPr="009B5034">
        <w:rPr>
          <w:rFonts w:eastAsia="Times New Roman" w:cstheme="minorHAnsi"/>
          <w:color w:val="000000" w:themeColor="text1"/>
          <w:sz w:val="20"/>
          <w:szCs w:val="20"/>
          <w:lang w:eastAsia="fr-FR"/>
        </w:rPr>
        <w:t>Émile Durkheim,</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 Suicide. Étude de sociologie</w:t>
      </w:r>
      <w:r w:rsidRPr="009B5034">
        <w:rPr>
          <w:rFonts w:eastAsia="Times New Roman" w:cstheme="minorHAnsi"/>
          <w:color w:val="000000" w:themeColor="text1"/>
          <w:sz w:val="20"/>
          <w:szCs w:val="20"/>
          <w:lang w:eastAsia="fr-FR"/>
        </w:rPr>
        <w:t>, Paris, F. Alcan, 1897.</w:t>
      </w:r>
    </w:p>
    <w:p w:rsidR="00157955" w:rsidRPr="009B5034"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(25) </w:t>
      </w:r>
      <w:r w:rsidRPr="009B5034">
        <w:rPr>
          <w:rFonts w:eastAsia="Times New Roman" w:cstheme="minorHAnsi"/>
          <w:color w:val="000000" w:themeColor="text1"/>
          <w:sz w:val="20"/>
          <w:szCs w:val="20"/>
          <w:lang w:eastAsia="fr-FR"/>
        </w:rPr>
        <w:t>Amy Dahan-Dalmedico (dir.),</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Les Modèles du futur. Changement climatique et scénarios économiques : enjeux politiques et économiques</w:t>
      </w:r>
      <w:r w:rsidRPr="009B5034">
        <w:rPr>
          <w:rFonts w:eastAsia="Times New Roman" w:cstheme="minorHAnsi"/>
          <w:color w:val="000000" w:themeColor="text1"/>
          <w:sz w:val="20"/>
          <w:szCs w:val="20"/>
          <w:lang w:eastAsia="fr-FR"/>
        </w:rPr>
        <w:t>, Paris, La Découverte, 2007.</w:t>
      </w:r>
    </w:p>
    <w:p w:rsidR="00157955"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sidRPr="00240F13">
        <w:rPr>
          <w:rFonts w:eastAsia="Times New Roman" w:cstheme="minorHAnsi"/>
          <w:color w:val="000000" w:themeColor="text1"/>
          <w:sz w:val="20"/>
          <w:szCs w:val="20"/>
          <w:bdr w:val="none" w:sz="0" w:space="0" w:color="auto" w:frame="1"/>
          <w:lang w:eastAsia="fr-FR"/>
        </w:rPr>
        <w:t>(26) </w:t>
      </w:r>
      <w:r w:rsidRPr="009B5034">
        <w:rPr>
          <w:rFonts w:eastAsia="Times New Roman" w:cstheme="minorHAnsi"/>
          <w:color w:val="000000" w:themeColor="text1"/>
          <w:sz w:val="20"/>
          <w:szCs w:val="20"/>
          <w:lang w:eastAsia="fr-FR"/>
        </w:rPr>
        <w:t>C’est au Pentagone que la possibilité et les conséquences d’un changement climatique global furent discutées pour la première fois, un jour du printemps 1947. Il s’agissait alors d’évaluer ce que pourrait être son impact sur les glaces du pôle nord, ce futur champ de bataille de la troisième guerre mondiale. Ron Doel, « Quelle place pour les sciences de l’environnement physique dans l’histoire environnementale ? »,</w:t>
      </w:r>
      <w:r w:rsidRPr="00240F13">
        <w:rPr>
          <w:rFonts w:eastAsia="Times New Roman" w:cstheme="minorHAnsi"/>
          <w:color w:val="000000" w:themeColor="text1"/>
          <w:sz w:val="20"/>
          <w:szCs w:val="20"/>
          <w:lang w:eastAsia="fr-FR"/>
        </w:rPr>
        <w:t> </w:t>
      </w:r>
      <w:r w:rsidRPr="009B5034">
        <w:rPr>
          <w:rFonts w:eastAsia="Times New Roman" w:cstheme="minorHAnsi"/>
          <w:i/>
          <w:iCs/>
          <w:color w:val="000000" w:themeColor="text1"/>
          <w:sz w:val="20"/>
          <w:szCs w:val="20"/>
          <w:bdr w:val="none" w:sz="0" w:space="0" w:color="auto" w:frame="1"/>
          <w:lang w:eastAsia="fr-FR"/>
        </w:rPr>
        <w:t>Revue d’histoire moderne et contemporaine</w:t>
      </w:r>
      <w:r w:rsidRPr="009B5034">
        <w:rPr>
          <w:rFonts w:eastAsia="Times New Roman" w:cstheme="minorHAnsi"/>
          <w:color w:val="000000" w:themeColor="text1"/>
          <w:sz w:val="20"/>
          <w:szCs w:val="20"/>
          <w:lang w:eastAsia="fr-FR"/>
        </w:rPr>
        <w:t>, 56-4, décembre 2009.</w:t>
      </w:r>
    </w:p>
    <w:p w:rsidR="00157955"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(27) Hassini Tsaki, Diagnostic morpho-pédologique des milieux édaphiques et des ambiances paléo-climatiques de la steppe algérienne comme base utile à la prise de décision en matière de mise en valeur, de l’aménagement du territoire et du suivi de l’environnement, Thèse de Doctorat, Faculté des sciences agronomiques de Gembloux, Belgique, 394 p. 2003.</w:t>
      </w:r>
    </w:p>
    <w:p w:rsidR="00157955"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p>
    <w:p w:rsidR="00157955"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p>
    <w:p w:rsidR="00C7643A" w:rsidRDefault="00157955" w:rsidP="00157955">
      <w:pPr>
        <w:shd w:val="clear" w:color="auto" w:fill="FFFFFF"/>
        <w:spacing w:after="0" w:line="336" w:lineRule="atLeast"/>
        <w:jc w:val="center"/>
        <w:textAlignment w:val="baseline"/>
        <w:rPr>
          <w:rFonts w:eastAsia="Times New Roman" w:cstheme="minorHAnsi"/>
          <w:b/>
          <w:caps/>
          <w:color w:val="000000" w:themeColor="text1"/>
          <w:sz w:val="24"/>
          <w:szCs w:val="24"/>
          <w:lang w:eastAsia="fr-FR"/>
        </w:rPr>
      </w:pPr>
      <w:r w:rsidRPr="00D80C07">
        <w:rPr>
          <w:rFonts w:eastAsia="Times New Roman" w:cstheme="minorHAnsi"/>
          <w:b/>
          <w:caps/>
          <w:color w:val="000000" w:themeColor="text1"/>
          <w:sz w:val="24"/>
          <w:szCs w:val="24"/>
          <w:lang w:eastAsia="fr-FR"/>
        </w:rPr>
        <w:t>Applications en travaux dirigés</w:t>
      </w:r>
    </w:p>
    <w:p w:rsidR="00157955" w:rsidRPr="00C7643A" w:rsidRDefault="00C7643A" w:rsidP="00157955">
      <w:pPr>
        <w:shd w:val="clear" w:color="auto" w:fill="FFFFFF"/>
        <w:spacing w:after="0" w:line="336" w:lineRule="atLeast"/>
        <w:jc w:val="center"/>
        <w:textAlignment w:val="baseline"/>
        <w:rPr>
          <w:rFonts w:eastAsia="Times New Roman" w:cstheme="minorHAnsi"/>
          <w:color w:val="000000" w:themeColor="text1"/>
          <w:sz w:val="20"/>
          <w:szCs w:val="20"/>
          <w:lang w:eastAsia="fr-FR"/>
        </w:rPr>
      </w:pPr>
      <w:r w:rsidRPr="00C7643A">
        <w:rPr>
          <w:rFonts w:eastAsia="Times New Roman" w:cstheme="minorHAnsi"/>
          <w:caps/>
          <w:color w:val="000000" w:themeColor="text1"/>
          <w:sz w:val="24"/>
          <w:szCs w:val="24"/>
          <w:lang w:eastAsia="fr-FR"/>
        </w:rPr>
        <w:t>(durée 90 Minutes)</w:t>
      </w:r>
      <w:r w:rsidR="00157955" w:rsidRPr="00C7643A">
        <w:rPr>
          <w:rFonts w:eastAsia="Times New Roman" w:cstheme="minorHAnsi"/>
          <w:color w:val="000000" w:themeColor="text1"/>
          <w:sz w:val="20"/>
          <w:szCs w:val="20"/>
          <w:lang w:eastAsia="fr-FR"/>
        </w:rPr>
        <w:t> :</w:t>
      </w:r>
    </w:p>
    <w:p w:rsidR="00157955" w:rsidRDefault="00157955" w:rsidP="00157955">
      <w:pPr>
        <w:shd w:val="clear" w:color="auto" w:fill="FFFFFF"/>
        <w:spacing w:after="0" w:line="336" w:lineRule="atLeast"/>
        <w:textAlignment w:val="baseline"/>
        <w:rPr>
          <w:rFonts w:eastAsia="Times New Roman" w:cstheme="minorHAnsi"/>
          <w:color w:val="000000" w:themeColor="text1"/>
          <w:sz w:val="20"/>
          <w:szCs w:val="20"/>
          <w:lang w:eastAsia="fr-FR"/>
        </w:rPr>
      </w:pPr>
    </w:p>
    <w:p w:rsidR="00625B21" w:rsidRDefault="00AA6B75" w:rsidP="00625B21">
      <w:pPr>
        <w:pStyle w:val="Paragraphedeliste"/>
        <w:numPr>
          <w:ilvl w:val="0"/>
          <w:numId w:val="4"/>
        </w:numPr>
        <w:shd w:val="clear" w:color="auto" w:fill="FFFFFF"/>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1. Réalisez</w:t>
      </w:r>
      <w:r w:rsidR="00625B21">
        <w:rPr>
          <w:rFonts w:eastAsia="Times New Roman" w:cstheme="minorHAnsi"/>
          <w:color w:val="000000"/>
          <w:lang w:eastAsia="fr-FR"/>
        </w:rPr>
        <w:t xml:space="preserve"> un commentaire synthétique du texte plus haut ( 12 lignes </w:t>
      </w:r>
      <w:r w:rsidR="00C7643A">
        <w:rPr>
          <w:rFonts w:eastAsia="Times New Roman" w:cstheme="minorHAnsi"/>
          <w:color w:val="000000"/>
          <w:lang w:eastAsia="fr-FR"/>
        </w:rPr>
        <w:t xml:space="preserve">au </w:t>
      </w:r>
      <w:r w:rsidR="00625B21">
        <w:rPr>
          <w:rFonts w:eastAsia="Times New Roman" w:cstheme="minorHAnsi"/>
          <w:color w:val="000000"/>
          <w:lang w:eastAsia="fr-FR"/>
        </w:rPr>
        <w:t>maximum) ;</w:t>
      </w:r>
    </w:p>
    <w:p w:rsidR="00625B21" w:rsidRDefault="00625B21" w:rsidP="00625B21">
      <w:pPr>
        <w:pStyle w:val="Paragraphedeliste"/>
        <w:shd w:val="clear" w:color="auto" w:fill="FFFFFF"/>
        <w:spacing w:after="0" w:line="240" w:lineRule="auto"/>
        <w:ind w:left="1065"/>
        <w:jc w:val="both"/>
        <w:textAlignment w:val="baseline"/>
        <w:rPr>
          <w:rFonts w:eastAsia="Times New Roman" w:cstheme="minorHAnsi"/>
          <w:color w:val="000000"/>
          <w:lang w:eastAsia="fr-FR"/>
        </w:rPr>
      </w:pPr>
    </w:p>
    <w:p w:rsidR="00625B21" w:rsidRDefault="00625B21" w:rsidP="00625B21">
      <w:pPr>
        <w:pStyle w:val="Paragraphedeliste"/>
        <w:numPr>
          <w:ilvl w:val="0"/>
          <w:numId w:val="4"/>
        </w:numPr>
        <w:shd w:val="clear" w:color="auto" w:fill="FFFFFF"/>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2. Quels sont les rapports en</w:t>
      </w:r>
      <w:r w:rsidR="00AA6B75">
        <w:rPr>
          <w:rFonts w:eastAsia="Times New Roman" w:cstheme="minorHAnsi"/>
          <w:color w:val="000000"/>
          <w:lang w:eastAsia="fr-FR"/>
        </w:rPr>
        <w:t>tre</w:t>
      </w:r>
      <w:bookmarkStart w:id="0" w:name="_GoBack"/>
      <w:bookmarkEnd w:id="0"/>
      <w:r>
        <w:rPr>
          <w:rFonts w:eastAsia="Times New Roman" w:cstheme="minorHAnsi"/>
          <w:color w:val="000000"/>
          <w:lang w:eastAsia="fr-FR"/>
        </w:rPr>
        <w:t xml:space="preserve"> la modification climatique et la déforestation en général </w:t>
      </w:r>
    </w:p>
    <w:p w:rsidR="00625B21" w:rsidRDefault="00625B21" w:rsidP="00625B21">
      <w:pPr>
        <w:pStyle w:val="Paragraphedeliste"/>
        <w:shd w:val="clear" w:color="auto" w:fill="FFFFFF"/>
        <w:spacing w:after="0" w:line="240" w:lineRule="auto"/>
        <w:ind w:left="1065"/>
        <w:jc w:val="both"/>
        <w:textAlignment w:val="baseline"/>
        <w:rPr>
          <w:rFonts w:eastAsia="Times New Roman" w:cstheme="minorHAnsi"/>
          <w:color w:val="000000"/>
          <w:lang w:eastAsia="fr-FR"/>
        </w:rPr>
      </w:pPr>
      <w:r>
        <w:rPr>
          <w:rFonts w:eastAsia="Times New Roman" w:cstheme="minorHAnsi"/>
          <w:color w:val="000000"/>
          <w:lang w:eastAsia="fr-FR"/>
        </w:rPr>
        <w:t>(</w:t>
      </w:r>
      <w:r w:rsidR="00C7643A">
        <w:rPr>
          <w:rFonts w:eastAsia="Times New Roman" w:cstheme="minorHAnsi"/>
          <w:color w:val="000000"/>
          <w:lang w:eastAsia="fr-FR"/>
        </w:rPr>
        <w:t>Citez</w:t>
      </w:r>
      <w:r>
        <w:rPr>
          <w:rFonts w:eastAsia="Times New Roman" w:cstheme="minorHAnsi"/>
          <w:color w:val="000000"/>
          <w:lang w:eastAsia="fr-FR"/>
        </w:rPr>
        <w:t xml:space="preserve"> des exemples) ;</w:t>
      </w:r>
    </w:p>
    <w:p w:rsidR="00625B21" w:rsidRPr="00625B21" w:rsidRDefault="00625B21" w:rsidP="00625B21">
      <w:pPr>
        <w:pStyle w:val="Paragraphedeliste"/>
        <w:shd w:val="clear" w:color="auto" w:fill="FFFFFF"/>
        <w:spacing w:after="0" w:line="240" w:lineRule="auto"/>
        <w:ind w:left="1065"/>
        <w:jc w:val="both"/>
        <w:textAlignment w:val="baseline"/>
        <w:rPr>
          <w:rFonts w:eastAsia="Times New Roman" w:cstheme="minorHAnsi"/>
          <w:color w:val="000000"/>
          <w:lang w:eastAsia="fr-FR"/>
        </w:rPr>
      </w:pPr>
    </w:p>
    <w:p w:rsidR="00625B21" w:rsidRPr="00625B21" w:rsidRDefault="00625B21" w:rsidP="00625B21">
      <w:pPr>
        <w:pStyle w:val="Paragraphedeliste"/>
        <w:numPr>
          <w:ilvl w:val="0"/>
          <w:numId w:val="4"/>
        </w:numPr>
        <w:shd w:val="clear" w:color="auto" w:fill="FFFFFF"/>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 xml:space="preserve">3. Le reboisement peut-il améliorer des microclimats locaux et comment (proposez </w:t>
      </w:r>
      <w:r w:rsidR="00C7643A">
        <w:rPr>
          <w:rFonts w:eastAsia="Times New Roman" w:cstheme="minorHAnsi"/>
          <w:color w:val="000000"/>
          <w:lang w:eastAsia="fr-FR"/>
        </w:rPr>
        <w:t>, après recherche</w:t>
      </w:r>
      <w:r w:rsidR="00AA6B75">
        <w:rPr>
          <w:rFonts w:eastAsia="Times New Roman" w:cstheme="minorHAnsi"/>
          <w:color w:val="000000"/>
          <w:lang w:eastAsia="fr-FR"/>
        </w:rPr>
        <w:t>,</w:t>
      </w:r>
      <w:r>
        <w:rPr>
          <w:rFonts w:eastAsia="Times New Roman" w:cstheme="minorHAnsi"/>
          <w:color w:val="000000"/>
          <w:lang w:eastAsia="fr-FR"/>
        </w:rPr>
        <w:t xml:space="preserve"> un exemple ou projet d’envergure lancé en Afrique du Nord) </w:t>
      </w:r>
    </w:p>
    <w:p w:rsidR="00157955" w:rsidRDefault="00157955" w:rsidP="00157955"/>
    <w:p w:rsidR="009F7E9F" w:rsidRDefault="009F7E9F"/>
    <w:sectPr w:rsidR="009F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D84"/>
    <w:multiLevelType w:val="hybridMultilevel"/>
    <w:tmpl w:val="F54CF9CE"/>
    <w:lvl w:ilvl="0" w:tplc="6208454C">
      <w:start w:val="3"/>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4AE0D06"/>
    <w:multiLevelType w:val="hybridMultilevel"/>
    <w:tmpl w:val="60CCE66A"/>
    <w:lvl w:ilvl="0" w:tplc="EAE4CC8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395D7F"/>
    <w:multiLevelType w:val="hybridMultilevel"/>
    <w:tmpl w:val="278A1D06"/>
    <w:lvl w:ilvl="0" w:tplc="75D6FD5A">
      <w:start w:val="27"/>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459D6903"/>
    <w:multiLevelType w:val="hybridMultilevel"/>
    <w:tmpl w:val="394458A2"/>
    <w:lvl w:ilvl="0" w:tplc="4C0CD7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55"/>
    <w:rsid w:val="00157955"/>
    <w:rsid w:val="00625B21"/>
    <w:rsid w:val="009F7E9F"/>
    <w:rsid w:val="00AA6B75"/>
    <w:rsid w:val="00C76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17578-F61E-4C52-8445-835D96BC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5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955"/>
    <w:pPr>
      <w:ind w:left="720"/>
      <w:contextualSpacing/>
    </w:pPr>
  </w:style>
  <w:style w:type="paragraph" w:customStyle="1" w:styleId="selectionshareable">
    <w:name w:val="selectionshareable"/>
    <w:basedOn w:val="Normal"/>
    <w:rsid w:val="001579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57955"/>
  </w:style>
  <w:style w:type="character" w:styleId="Accentuation">
    <w:name w:val="Emphasis"/>
    <w:basedOn w:val="Policepardfaut"/>
    <w:uiPriority w:val="20"/>
    <w:qFormat/>
    <w:rsid w:val="00157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iedesidees.fr/Le-climat-fragile-de-la-modernite.html" TargetMode="External"/><Relationship Id="rId13" Type="http://schemas.openxmlformats.org/officeDocument/2006/relationships/hyperlink" Target="http://www.laviedesidees.fr/Le-climat-fragile-de-la-modernite.html" TargetMode="External"/><Relationship Id="rId18" Type="http://schemas.openxmlformats.org/officeDocument/2006/relationships/hyperlink" Target="http://www.laviedesidees.fr/Le-climat-fragile-de-la-modernit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aviedesidees.fr/Le-climat-fragile-de-la-modernite.html" TargetMode="External"/><Relationship Id="rId7" Type="http://schemas.openxmlformats.org/officeDocument/2006/relationships/hyperlink" Target="http://www.laviedesidees.fr/Le-climat-fragile-de-la-modernite.html" TargetMode="External"/><Relationship Id="rId12" Type="http://schemas.openxmlformats.org/officeDocument/2006/relationships/hyperlink" Target="http://www.laviedesidees.fr/Le-climat-fragile-de-la-modernite.html" TargetMode="External"/><Relationship Id="rId17" Type="http://schemas.openxmlformats.org/officeDocument/2006/relationships/hyperlink" Target="http://www.laviedesidees.fr/Le-climat-fragile-de-la-modernite.html" TargetMode="External"/><Relationship Id="rId25" Type="http://schemas.openxmlformats.org/officeDocument/2006/relationships/hyperlink" Target="http://www.laviedesidees.fr/Le-climat-fragile-de-la-modernite.html" TargetMode="External"/><Relationship Id="rId2" Type="http://schemas.openxmlformats.org/officeDocument/2006/relationships/styles" Target="styles.xml"/><Relationship Id="rId16" Type="http://schemas.openxmlformats.org/officeDocument/2006/relationships/hyperlink" Target="http://www.laviedesidees.fr/Le-climat-fragile-de-la-modernite.html" TargetMode="External"/><Relationship Id="rId20" Type="http://schemas.openxmlformats.org/officeDocument/2006/relationships/hyperlink" Target="http://www.laviedesidees.fr/Le-climat-fragile-de-la-modernite.html" TargetMode="External"/><Relationship Id="rId1" Type="http://schemas.openxmlformats.org/officeDocument/2006/relationships/numbering" Target="numbering.xml"/><Relationship Id="rId6" Type="http://schemas.openxmlformats.org/officeDocument/2006/relationships/hyperlink" Target="http://www.contretemps.eu/" TargetMode="External"/><Relationship Id="rId11" Type="http://schemas.openxmlformats.org/officeDocument/2006/relationships/hyperlink" Target="http://www.laviedesidees.fr/Le-climat-fragile-de-la-modernite.html" TargetMode="External"/><Relationship Id="rId24" Type="http://schemas.openxmlformats.org/officeDocument/2006/relationships/hyperlink" Target="http://www.laviedesidees.fr/Le-climat-fragile-de-la-modernite.html" TargetMode="External"/><Relationship Id="rId5" Type="http://schemas.openxmlformats.org/officeDocument/2006/relationships/hyperlink" Target="http://www.laviedesidees.fr/Le-climat-fragile-de-la-modernite.html" TargetMode="External"/><Relationship Id="rId15" Type="http://schemas.openxmlformats.org/officeDocument/2006/relationships/hyperlink" Target="http://www.laviedesidees.fr/Le-climat-fragile-de-la-modernite.html" TargetMode="External"/><Relationship Id="rId23" Type="http://schemas.openxmlformats.org/officeDocument/2006/relationships/hyperlink" Target="http://www.laviedesidees.fr/Le-climat-fragile-de-la-modernite.html" TargetMode="External"/><Relationship Id="rId10" Type="http://schemas.openxmlformats.org/officeDocument/2006/relationships/hyperlink" Target="http://www.laviedesidees.fr/Le-climat-fragile-de-la-modernite.html" TargetMode="External"/><Relationship Id="rId19" Type="http://schemas.openxmlformats.org/officeDocument/2006/relationships/hyperlink" Target="http://www.laviedesidees.fr/Le-climat-fragile-de-la-modernite.html" TargetMode="External"/><Relationship Id="rId4" Type="http://schemas.openxmlformats.org/officeDocument/2006/relationships/webSettings" Target="webSettings.xml"/><Relationship Id="rId9" Type="http://schemas.openxmlformats.org/officeDocument/2006/relationships/hyperlink" Target="http://www.laviedesidees.fr/Le-climat-fragile-de-la-modernite.html" TargetMode="External"/><Relationship Id="rId14" Type="http://schemas.openxmlformats.org/officeDocument/2006/relationships/hyperlink" Target="http://www.laviedesidees.fr/Le-climat-fragile-de-la-modernite.html" TargetMode="External"/><Relationship Id="rId22" Type="http://schemas.openxmlformats.org/officeDocument/2006/relationships/hyperlink" Target="http://www.laviedesidees.fr/Le-climat-fragile-de-la-modernite.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2300</Words>
  <Characters>12655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2020-04-04T14:44:00Z</dcterms:created>
  <dcterms:modified xsi:type="dcterms:W3CDTF">2020-04-04T14:45:00Z</dcterms:modified>
</cp:coreProperties>
</file>